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60E40" w14:textId="23C7789A" w:rsidR="00721485" w:rsidRDefault="00EC6037" w:rsidP="00EC6037">
      <w:r>
        <w:rPr>
          <w:noProof/>
        </w:rPr>
        <w:drawing>
          <wp:inline distT="0" distB="0" distL="0" distR="0" wp14:anchorId="3B85B70E" wp14:editId="13CC683C">
            <wp:extent cx="3149600" cy="123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6544" w14:textId="2ABBB9D2" w:rsidR="00EC6037" w:rsidRDefault="00EC6037" w:rsidP="00EC6037"/>
    <w:p w14:paraId="7ED47824" w14:textId="7041F52B" w:rsidR="00EC6037" w:rsidRPr="0021617D" w:rsidRDefault="00EC6037" w:rsidP="00EC6037">
      <w:pPr>
        <w:rPr>
          <w:rFonts w:ascii="Gotham Book" w:hAnsi="Gotham Book"/>
          <w:b/>
          <w:bCs/>
          <w:caps/>
          <w:color w:val="002060"/>
        </w:rPr>
      </w:pPr>
      <w:r w:rsidRPr="0021617D">
        <w:rPr>
          <w:rFonts w:ascii="Gotham Book" w:hAnsi="Gotham Book"/>
          <w:b/>
          <w:bCs/>
          <w:caps/>
          <w:color w:val="002060"/>
        </w:rPr>
        <w:t>List of stakeholder organisations invited to make submissions to the Initial Review of the Personal Injury Commission Rules</w:t>
      </w:r>
    </w:p>
    <w:p w14:paraId="385BE916" w14:textId="40E37503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 xml:space="preserve">The Personal Injury Stakeholder Reference Group </w:t>
      </w:r>
    </w:p>
    <w:p w14:paraId="710CBD24" w14:textId="4F852135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 xml:space="preserve">Unions New South Wales </w:t>
      </w:r>
    </w:p>
    <w:p w14:paraId="3909BA6C" w14:textId="77777777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>SIRA</w:t>
      </w:r>
    </w:p>
    <w:p w14:paraId="45419B60" w14:textId="61898E71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proofErr w:type="spellStart"/>
      <w:r w:rsidRPr="0021617D">
        <w:rPr>
          <w:rFonts w:ascii="Gotham Book" w:hAnsi="Gotham Book" w:cstheme="minorHAnsi"/>
          <w:sz w:val="24"/>
          <w:szCs w:val="24"/>
        </w:rPr>
        <w:t>Icare</w:t>
      </w:r>
      <w:proofErr w:type="spellEnd"/>
    </w:p>
    <w:p w14:paraId="3054BCA8" w14:textId="76DBBCE3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>The CTP Stakeholder Reference Group</w:t>
      </w:r>
    </w:p>
    <w:p w14:paraId="00F27910" w14:textId="77777777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>IRO</w:t>
      </w:r>
    </w:p>
    <w:p w14:paraId="711AFD5A" w14:textId="77777777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 xml:space="preserve">The Law Society of NSW </w:t>
      </w:r>
    </w:p>
    <w:p w14:paraId="33765BC9" w14:textId="1095CB94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sz w:val="24"/>
          <w:szCs w:val="24"/>
        </w:rPr>
        <w:t xml:space="preserve">The Bar Association of NSW </w:t>
      </w:r>
    </w:p>
    <w:p w14:paraId="618CBC67" w14:textId="1D345BBF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color w:val="000000"/>
          <w:sz w:val="24"/>
          <w:szCs w:val="24"/>
          <w:shd w:val="clear" w:color="auto" w:fill="FFFFFF"/>
        </w:rPr>
        <w:t>Ai Group, Australian Federation of Employers and Industries, NSW Business Chamber</w:t>
      </w:r>
    </w:p>
    <w:p w14:paraId="5403D967" w14:textId="3E6A2FB4" w:rsidR="00EC6037" w:rsidRPr="0021617D" w:rsidRDefault="00EC6037" w:rsidP="00EC6037">
      <w:pPr>
        <w:pStyle w:val="ListParagraph"/>
        <w:numPr>
          <w:ilvl w:val="0"/>
          <w:numId w:val="1"/>
        </w:numPr>
        <w:rPr>
          <w:rFonts w:ascii="Gotham Book" w:hAnsi="Gotham Book" w:cstheme="minorHAnsi"/>
          <w:sz w:val="24"/>
          <w:szCs w:val="24"/>
        </w:rPr>
      </w:pPr>
      <w:r w:rsidRPr="0021617D">
        <w:rPr>
          <w:rFonts w:ascii="Gotham Book" w:hAnsi="Gotham Book" w:cstheme="minorHAnsi"/>
          <w:color w:val="000000"/>
          <w:sz w:val="24"/>
          <w:szCs w:val="24"/>
          <w:shd w:val="clear" w:color="auto" w:fill="FFFFFF"/>
        </w:rPr>
        <w:t>Royal Australasian College of Physicians, The Royal Australian and New Zealand College of Psychiatrists and The Royal Australasian College of Surgeons</w:t>
      </w:r>
    </w:p>
    <w:p w14:paraId="2D6769C2" w14:textId="77777777" w:rsidR="00EC6037" w:rsidRPr="00EC6037" w:rsidRDefault="00EC6037" w:rsidP="00EC6037">
      <w:pPr>
        <w:rPr>
          <w:b/>
          <w:bCs/>
          <w:caps/>
          <w:color w:val="002060"/>
        </w:rPr>
      </w:pPr>
    </w:p>
    <w:sectPr w:rsidR="00EC6037" w:rsidRPr="00EC6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A1AA2"/>
    <w:multiLevelType w:val="hybridMultilevel"/>
    <w:tmpl w:val="8DEAC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37"/>
    <w:rsid w:val="0021617D"/>
    <w:rsid w:val="005E2CCE"/>
    <w:rsid w:val="00721485"/>
    <w:rsid w:val="00E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EA64"/>
  <w15:chartTrackingRefBased/>
  <w15:docId w15:val="{31DB3447-25AC-4F92-9EF4-2A5A7C8F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Flores-Walsh</dc:creator>
  <cp:keywords/>
  <dc:description/>
  <cp:lastModifiedBy>Siobhan Flores-Walsh</cp:lastModifiedBy>
  <cp:revision>3</cp:revision>
  <dcterms:created xsi:type="dcterms:W3CDTF">2021-09-03T03:58:00Z</dcterms:created>
  <dcterms:modified xsi:type="dcterms:W3CDTF">2021-09-03T03:58:00Z</dcterms:modified>
</cp:coreProperties>
</file>